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F1D0" w14:textId="77777777" w:rsidR="00A9170F" w:rsidRDefault="00A9170F" w:rsidP="00A9170F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jc w:val="center"/>
        <w:rPr>
          <w:rFonts w:ascii="Open Sans" w:hAnsi="Open Sans" w:cs="Open Sans"/>
          <w:b/>
          <w:bCs/>
          <w:sz w:val="28"/>
          <w:szCs w:val="28"/>
          <w:u w:val="single"/>
          <w:lang w:val="it-IT"/>
        </w:rPr>
      </w:pPr>
    </w:p>
    <w:p w14:paraId="4324FDED" w14:textId="0A71B126" w:rsidR="00575520" w:rsidRPr="00A9170F" w:rsidRDefault="00643802" w:rsidP="00A9170F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jc w:val="center"/>
        <w:rPr>
          <w:rFonts w:ascii="Open Sans" w:hAnsi="Open Sans" w:cs="Open Sans"/>
          <w:b/>
          <w:bCs/>
          <w:sz w:val="36"/>
          <w:szCs w:val="36"/>
          <w:lang w:val="it-IT"/>
        </w:rPr>
      </w:pPr>
      <w:r w:rsidRPr="005702C2">
        <w:rPr>
          <w:rFonts w:ascii="Open Sans" w:hAnsi="Open Sans" w:cs="Open Sans"/>
          <w:b/>
          <w:bCs/>
          <w:sz w:val="36"/>
          <w:szCs w:val="36"/>
          <w:lang w:val="it-IT"/>
        </w:rPr>
        <w:t>COMUNICATO</w:t>
      </w:r>
      <w:r w:rsidR="00F25601" w:rsidRPr="005702C2">
        <w:rPr>
          <w:rFonts w:ascii="Open Sans" w:hAnsi="Open Sans" w:cs="Open Sans"/>
          <w:b/>
          <w:bCs/>
          <w:sz w:val="36"/>
          <w:szCs w:val="36"/>
          <w:lang w:val="it-IT"/>
        </w:rPr>
        <w:t xml:space="preserve"> </w:t>
      </w:r>
      <w:r w:rsidR="003900A2" w:rsidRPr="005702C2">
        <w:rPr>
          <w:rFonts w:ascii="Open Sans" w:hAnsi="Open Sans" w:cs="Open Sans"/>
          <w:b/>
          <w:bCs/>
          <w:sz w:val="36"/>
          <w:szCs w:val="36"/>
          <w:lang w:val="it-IT"/>
        </w:rPr>
        <w:t>STAMPA</w:t>
      </w:r>
    </w:p>
    <w:p w14:paraId="7D2E4CED" w14:textId="77777777" w:rsidR="00920FF8" w:rsidRPr="00C052D2" w:rsidRDefault="00920FF8" w:rsidP="00575520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ind w:left="142"/>
        <w:rPr>
          <w:rFonts w:ascii="Open Sans" w:hAnsi="Open Sans" w:cs="Open Sans"/>
          <w:b/>
          <w:bCs/>
          <w:sz w:val="28"/>
          <w:szCs w:val="28"/>
          <w:u w:val="single"/>
          <w:lang w:val="it-IT"/>
        </w:rPr>
      </w:pPr>
    </w:p>
    <w:p w14:paraId="7CBCB582" w14:textId="77777777" w:rsidR="002400B5" w:rsidRPr="003B0622" w:rsidRDefault="002400B5" w:rsidP="002400B5">
      <w:pPr>
        <w:jc w:val="center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</w:pPr>
      <w:bookmarkStart w:id="0" w:name="_Hlk196232132"/>
      <w:bookmarkStart w:id="1" w:name="_Hlk202253801"/>
      <w:bookmarkEnd w:id="0"/>
      <w:r w:rsidRPr="003B0622"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  <w:t>DL Infrastrutture – Consulta dei Servizi:</w:t>
      </w:r>
    </w:p>
    <w:p w14:paraId="6146A82D" w14:textId="52D10517" w:rsidR="006E1EAA" w:rsidRPr="003B0622" w:rsidRDefault="00966798" w:rsidP="002400B5">
      <w:pPr>
        <w:jc w:val="center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</w:pPr>
      <w:r w:rsidRPr="003B0622"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  <w:t>il</w:t>
      </w:r>
      <w:r w:rsidR="006E1EAA" w:rsidRPr="003B0622"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  <w:t xml:space="preserve"> </w:t>
      </w:r>
      <w:r w:rsidR="0005766B" w:rsidRPr="00037C5A">
        <w:rPr>
          <w:rFonts w:ascii="Open Sans" w:eastAsia="Times New Roman" w:hAnsi="Open Sans" w:cs="Open Sans"/>
          <w:b/>
          <w:bCs/>
          <w:sz w:val="32"/>
          <w:szCs w:val="32"/>
          <w:lang w:val="it-IT" w:eastAsia="it-IT"/>
        </w:rPr>
        <w:t>mancato intervento</w:t>
      </w:r>
      <w:r w:rsidR="006E1EAA" w:rsidRPr="00037C5A">
        <w:rPr>
          <w:rFonts w:ascii="Open Sans" w:eastAsia="Times New Roman" w:hAnsi="Open Sans" w:cs="Open Sans"/>
          <w:b/>
          <w:bCs/>
          <w:sz w:val="32"/>
          <w:szCs w:val="32"/>
          <w:lang w:val="it-IT" w:eastAsia="it-IT"/>
        </w:rPr>
        <w:t xml:space="preserve"> del Governo mette a rischio qualità dei servizi</w:t>
      </w:r>
      <w:r w:rsidRPr="00037C5A">
        <w:rPr>
          <w:rFonts w:ascii="Open Sans" w:eastAsia="Times New Roman" w:hAnsi="Open Sans" w:cs="Open Sans"/>
          <w:b/>
          <w:bCs/>
          <w:sz w:val="32"/>
          <w:szCs w:val="32"/>
          <w:lang w:val="it-IT" w:eastAsia="it-IT"/>
        </w:rPr>
        <w:t xml:space="preserve"> essenziali</w:t>
      </w:r>
      <w:r w:rsidR="006E1EAA" w:rsidRPr="00037C5A">
        <w:rPr>
          <w:rFonts w:ascii="Open Sans" w:eastAsia="Times New Roman" w:hAnsi="Open Sans" w:cs="Open Sans"/>
          <w:b/>
          <w:bCs/>
          <w:sz w:val="32"/>
          <w:szCs w:val="32"/>
          <w:lang w:val="it-IT" w:eastAsia="it-IT"/>
        </w:rPr>
        <w:t xml:space="preserve">, decine di </w:t>
      </w:r>
      <w:r w:rsidR="006E1EAA" w:rsidRPr="003B0622">
        <w:rPr>
          <w:rFonts w:ascii="Open Sans" w:eastAsia="Times New Roman" w:hAnsi="Open Sans" w:cs="Open Sans"/>
          <w:b/>
          <w:bCs/>
          <w:color w:val="000000"/>
          <w:sz w:val="32"/>
          <w:szCs w:val="32"/>
          <w:lang w:val="it-IT" w:eastAsia="it-IT"/>
        </w:rPr>
        <w:t>aziende e migliaia di lavoratori</w:t>
      </w:r>
    </w:p>
    <w:bookmarkEnd w:id="1"/>
    <w:p w14:paraId="6C50001C" w14:textId="77777777" w:rsidR="00D8553E" w:rsidRPr="00F21E28" w:rsidRDefault="00D8553E" w:rsidP="002400B5">
      <w:pPr>
        <w:jc w:val="center"/>
        <w:rPr>
          <w:rFonts w:ascii="Open Sans" w:eastAsia="Times New Roman" w:hAnsi="Open Sans" w:cs="Open Sans"/>
          <w:color w:val="000000"/>
          <w:sz w:val="22"/>
          <w:szCs w:val="22"/>
          <w:lang w:val="it-IT" w:eastAsia="it-IT"/>
        </w:rPr>
      </w:pPr>
    </w:p>
    <w:p w14:paraId="4FEE2392" w14:textId="7AF8CF0A" w:rsidR="005B76CB" w:rsidRPr="005B76CB" w:rsidRDefault="006A608C" w:rsidP="005B76CB">
      <w:pPr>
        <w:pStyle w:val="NormaleWeb"/>
        <w:jc w:val="both"/>
      </w:pPr>
      <w:r w:rsidRPr="00966798">
        <w:t xml:space="preserve">Roma, </w:t>
      </w:r>
      <w:r w:rsidR="00090416">
        <w:t xml:space="preserve">10 </w:t>
      </w:r>
      <w:r w:rsidR="007527E0" w:rsidRPr="00966798">
        <w:t xml:space="preserve">luglio </w:t>
      </w:r>
      <w:r w:rsidRPr="00966798">
        <w:t>2025 –</w:t>
      </w:r>
      <w:r w:rsidR="00DE01CF" w:rsidRPr="00966798">
        <w:t xml:space="preserve"> </w:t>
      </w:r>
      <w:r w:rsidR="005B76CB" w:rsidRPr="005B76CB">
        <w:t>Il ritiro</w:t>
      </w:r>
      <w:r w:rsidR="00037C5A">
        <w:t xml:space="preserve"> </w:t>
      </w:r>
      <w:r w:rsidR="005B76CB" w:rsidRPr="005B76CB">
        <w:t>degli emendamenti al Decreto Infrastrutture che puntavano a introdurre la revisione ordinaria obbligatoria dei prezzi e regole più uniformi negli appalti di servizi e forniture è una scelta che condanna al fallimento decine di aziende, con il conseguente rischio di perdita di migliaia di posti di lavoro</w:t>
      </w:r>
      <w:r w:rsidR="005B76CB" w:rsidRPr="00037C5A">
        <w:t xml:space="preserve">, e </w:t>
      </w:r>
      <w:r w:rsidR="00536D4B" w:rsidRPr="00037C5A">
        <w:t xml:space="preserve">minaccia </w:t>
      </w:r>
      <w:r w:rsidR="005B76CB" w:rsidRPr="00037C5A">
        <w:t xml:space="preserve">la tenuta </w:t>
      </w:r>
      <w:r w:rsidR="005B76CB" w:rsidRPr="005B76CB">
        <w:t>di settori cruciali per il funzionamento quotidiano del Paese.</w:t>
      </w:r>
    </w:p>
    <w:p w14:paraId="3BF9A76F" w14:textId="79097E23" w:rsidR="005B76CB" w:rsidRDefault="005B76CB" w:rsidP="004D6B44">
      <w:pPr>
        <w:pStyle w:val="NormaleWeb"/>
        <w:jc w:val="both"/>
      </w:pPr>
      <w:r w:rsidRPr="005B76CB">
        <w:t xml:space="preserve">È la denuncia della Consulta dei Servizi – che riunisce 19 associazioni nazionali e 4 filiere – </w:t>
      </w:r>
      <w:r>
        <w:t xml:space="preserve">a seguito </w:t>
      </w:r>
      <w:r w:rsidRPr="005B76CB">
        <w:t xml:space="preserve">del ritiro, </w:t>
      </w:r>
      <w:r w:rsidR="0005766B" w:rsidRPr="00037C5A">
        <w:t xml:space="preserve">senza motivazioni, </w:t>
      </w:r>
      <w:r w:rsidRPr="00037C5A">
        <w:t>durante l’iter di conversione del decreto-legge n. 73/2025 presso le Commissioni Ambiente e Trasporti della Camera, di emendamenti ritenuti essenziali per garantire equità e continuità negli appalti pubblici.</w:t>
      </w:r>
    </w:p>
    <w:p w14:paraId="0D7F5ACC" w14:textId="339BED20" w:rsidR="00754F38" w:rsidRPr="00536D4B" w:rsidRDefault="00DB271A" w:rsidP="00754F38">
      <w:pPr>
        <w:pStyle w:val="NormaleWeb"/>
        <w:jc w:val="both"/>
        <w:rPr>
          <w:strike/>
        </w:rPr>
      </w:pPr>
      <w:r w:rsidRPr="00DB271A">
        <w:t xml:space="preserve">Il settore dei servizi </w:t>
      </w:r>
      <w:r w:rsidR="00A8618D" w:rsidRPr="00037C5A">
        <w:t xml:space="preserve">fatica a </w:t>
      </w:r>
      <w:r w:rsidRPr="00DB271A">
        <w:t>sostenere contratti pubblici che non riconoscono l’impatto reale dell’inflazione e dell’aumento dei costi. La soglia del 5% per l’attivazione della revisione prezzi</w:t>
      </w:r>
      <w:r>
        <w:t xml:space="preserve">, </w:t>
      </w:r>
      <w:r w:rsidRPr="00DB271A">
        <w:t>abbassata correttamente al 3%</w:t>
      </w:r>
      <w:r>
        <w:t xml:space="preserve"> per i lavori pubblici, </w:t>
      </w:r>
      <w:r w:rsidRPr="00DB271A">
        <w:t>è stata dimostrata come inefficace</w:t>
      </w:r>
      <w:r w:rsidR="005B76CB">
        <w:t>.</w:t>
      </w:r>
      <w:r w:rsidR="00D37C34">
        <w:t xml:space="preserve"> Inoltre, l’</w:t>
      </w:r>
      <w:r w:rsidRPr="00DB271A">
        <w:t xml:space="preserve">assenza di norme certe sulla revisione </w:t>
      </w:r>
      <w:r w:rsidRPr="00037C5A">
        <w:t xml:space="preserve">prezzi, </w:t>
      </w:r>
      <w:r w:rsidR="0005766B" w:rsidRPr="00037C5A">
        <w:t>per contratti pluriennali della durata di almeno 5 anni</w:t>
      </w:r>
      <w:r w:rsidR="0005766B">
        <w:t xml:space="preserve">, </w:t>
      </w:r>
      <w:r w:rsidRPr="00DB271A">
        <w:t xml:space="preserve">in un comparto </w:t>
      </w:r>
      <w:r w:rsidR="002A0182">
        <w:t xml:space="preserve">ad alta intensità di manodopera </w:t>
      </w:r>
      <w:r w:rsidR="002A0182" w:rsidRPr="002A0182">
        <w:t>dove il costo del lavoro pesa in modo decisiv</w:t>
      </w:r>
      <w:r w:rsidR="002A0182">
        <w:t xml:space="preserve">o, </w:t>
      </w:r>
      <w:r w:rsidRPr="00DB271A">
        <w:t>ha un effetto diretto</w:t>
      </w:r>
      <w:r w:rsidR="002A0182">
        <w:t xml:space="preserve"> </w:t>
      </w:r>
      <w:r w:rsidRPr="00DB271A">
        <w:t>sulle politiche salariali</w:t>
      </w:r>
      <w:r w:rsidR="00D37C34">
        <w:t>. S</w:t>
      </w:r>
      <w:r w:rsidRPr="00DB271A">
        <w:t>enza una revisione dei contratti in essere con la</w:t>
      </w:r>
      <w:r w:rsidR="005B76CB">
        <w:t xml:space="preserve"> PA</w:t>
      </w:r>
      <w:r w:rsidRPr="00DB271A">
        <w:t>,</w:t>
      </w:r>
      <w:r w:rsidR="002A0182">
        <w:t xml:space="preserve"> che tenga conto degli aumenti previsti dai rinnovi</w:t>
      </w:r>
      <w:r w:rsidR="002A0182" w:rsidRPr="002A0182">
        <w:t xml:space="preserve"> dei CCNL</w:t>
      </w:r>
      <w:r w:rsidR="005B76CB">
        <w:t xml:space="preserve">, si rischiano ricadute sul fronte occupazionale: o </w:t>
      </w:r>
      <w:r w:rsidR="006E1EAA" w:rsidRPr="00966798">
        <w:t xml:space="preserve">le </w:t>
      </w:r>
      <w:r w:rsidR="00754F38" w:rsidRPr="00966798">
        <w:t xml:space="preserve">imprese </w:t>
      </w:r>
      <w:r w:rsidR="006E1EAA" w:rsidRPr="00966798">
        <w:t xml:space="preserve">non saranno in grado di onorare gli appalti vinti e partecipare ai nuovi, o saranno costrette a </w:t>
      </w:r>
      <w:r w:rsidR="00A52F1D">
        <w:t xml:space="preserve">ridurre </w:t>
      </w:r>
      <w:r w:rsidR="006E1EAA" w:rsidRPr="00966798">
        <w:t>drastica</w:t>
      </w:r>
      <w:r w:rsidR="00A52F1D">
        <w:t>mente</w:t>
      </w:r>
      <w:r w:rsidR="006E1EAA" w:rsidRPr="00966798">
        <w:t xml:space="preserve"> </w:t>
      </w:r>
      <w:r w:rsidR="00A52F1D">
        <w:t xml:space="preserve">i </w:t>
      </w:r>
      <w:r w:rsidR="006E1EAA" w:rsidRPr="00966798">
        <w:t>costi</w:t>
      </w:r>
      <w:r w:rsidR="00754F38" w:rsidRPr="00966798">
        <w:t xml:space="preserve">, con effetti sulla qualità dei servizi e sulla dignità del lavoro. </w:t>
      </w:r>
    </w:p>
    <w:p w14:paraId="4EAEE384" w14:textId="0F6D1B8F" w:rsidR="00037C5A" w:rsidRDefault="00FA01B3" w:rsidP="00966798">
      <w:pPr>
        <w:pStyle w:val="NormaleWeb"/>
        <w:jc w:val="both"/>
        <w:rPr>
          <w:strike/>
        </w:rPr>
      </w:pPr>
      <w:r w:rsidRPr="00037C5A">
        <w:t xml:space="preserve">Parlamento e Governo </w:t>
      </w:r>
      <w:r w:rsidR="00176346" w:rsidRPr="00037C5A">
        <w:t xml:space="preserve">devono porre la giusta attenzione alle </w:t>
      </w:r>
      <w:r w:rsidR="00754F38" w:rsidRPr="00037C5A">
        <w:t xml:space="preserve">conseguenze </w:t>
      </w:r>
      <w:r w:rsidR="00176346" w:rsidRPr="00037C5A">
        <w:t xml:space="preserve">che deriveranno dal </w:t>
      </w:r>
      <w:r w:rsidR="00754F38" w:rsidRPr="00037C5A">
        <w:t>vigente quadro normativo</w:t>
      </w:r>
      <w:r w:rsidR="00137DBF">
        <w:t>,</w:t>
      </w:r>
      <w:r w:rsidR="00754F38" w:rsidRPr="00037C5A">
        <w:t xml:space="preserve"> </w:t>
      </w:r>
      <w:r w:rsidR="00176346" w:rsidRPr="00037C5A">
        <w:t>che mett</w:t>
      </w:r>
      <w:r w:rsidR="00037C5A">
        <w:t>e</w:t>
      </w:r>
      <w:r w:rsidR="00176346" w:rsidRPr="00037C5A">
        <w:t xml:space="preserve"> a rischio </w:t>
      </w:r>
      <w:r w:rsidR="00966798" w:rsidRPr="00037C5A">
        <w:t xml:space="preserve">la tenuta economica e sociale di servizi pubblici </w:t>
      </w:r>
      <w:r w:rsidR="0005766B" w:rsidRPr="00037C5A">
        <w:t xml:space="preserve">essenziali </w:t>
      </w:r>
      <w:r w:rsidR="00966798" w:rsidRPr="00037C5A">
        <w:t>- dalla ristorazione scolastica e ospedaliera alla vigilanza, dai servizi ambientali al welfare - dai quali dipende</w:t>
      </w:r>
      <w:r w:rsidR="00176346" w:rsidRPr="00037C5A">
        <w:t>,</w:t>
      </w:r>
      <w:r w:rsidR="00966798" w:rsidRPr="00037C5A">
        <w:t xml:space="preserve"> </w:t>
      </w:r>
      <w:r w:rsidR="00754F38" w:rsidRPr="00037C5A">
        <w:t>per lo svolgimento di attività quotidiane di milioni di cittadini</w:t>
      </w:r>
      <w:r w:rsidR="00176346" w:rsidRPr="00037C5A">
        <w:t xml:space="preserve">, </w:t>
      </w:r>
      <w:r w:rsidR="00754F38" w:rsidRPr="00037C5A">
        <w:t xml:space="preserve">la funzionalità stessa del Paese. </w:t>
      </w:r>
      <w:r w:rsidR="00176346" w:rsidRPr="00037C5A">
        <w:t xml:space="preserve">Si tratta di </w:t>
      </w:r>
      <w:r w:rsidR="00966798" w:rsidRPr="00966798">
        <w:t xml:space="preserve">un </w:t>
      </w:r>
      <w:r w:rsidR="00966798" w:rsidRPr="00037C5A">
        <w:t xml:space="preserve">settore che </w:t>
      </w:r>
      <w:r w:rsidR="00176346" w:rsidRPr="00037C5A">
        <w:t xml:space="preserve">significa oggi </w:t>
      </w:r>
      <w:r w:rsidR="00966798" w:rsidRPr="00966798">
        <w:t>70 miliardi di euro, impiega un milione di persone ed è parte integrante della coesione sociale e del benessere dei cittadini</w:t>
      </w:r>
      <w:r w:rsidR="00966798" w:rsidRPr="0094189B">
        <w:t xml:space="preserve">. </w:t>
      </w:r>
    </w:p>
    <w:p w14:paraId="45A5C526" w14:textId="32D9200A" w:rsidR="00966798" w:rsidRPr="00037C5A" w:rsidRDefault="00176346" w:rsidP="00966798">
      <w:pPr>
        <w:pStyle w:val="NormaleWeb"/>
        <w:jc w:val="both"/>
      </w:pPr>
      <w:r w:rsidRPr="00037C5A">
        <w:lastRenderedPageBreak/>
        <w:t>Ravvisiamo segnali allarmanti</w:t>
      </w:r>
      <w:r w:rsidR="00B86B30" w:rsidRPr="00037C5A">
        <w:t>: si continua a chiedere ai servizi essenziali uno sforzo non più sostenibile, anche a costo di comprometterne la tenuta. Le ricadute sarebbero gravissime: riduzione della qualità dei servizi, perdita di posti di lavoro e chiusura di imprese qualificate.</w:t>
      </w:r>
    </w:p>
    <w:p w14:paraId="60372142" w14:textId="387D390C" w:rsidR="00966798" w:rsidRPr="00037C5A" w:rsidRDefault="00536D4B" w:rsidP="00754F38">
      <w:pPr>
        <w:pStyle w:val="NormaleWeb"/>
        <w:jc w:val="both"/>
      </w:pPr>
      <w:r w:rsidRPr="00037C5A">
        <w:t xml:space="preserve">Intendiamo </w:t>
      </w:r>
      <w:r w:rsidR="000B37D9" w:rsidRPr="00037C5A">
        <w:t xml:space="preserve">proseguire con determinazione le nostre azioni di </w:t>
      </w:r>
      <w:r w:rsidR="00176346" w:rsidRPr="00037C5A">
        <w:t xml:space="preserve">confronto </w:t>
      </w:r>
      <w:r w:rsidR="000B37D9" w:rsidRPr="00037C5A">
        <w:t xml:space="preserve">attraverso l’interlocuzione istituzionale e pubblica. </w:t>
      </w:r>
      <w:r w:rsidR="00176346" w:rsidRPr="00037C5A">
        <w:t xml:space="preserve">Ci rivolgiamo a </w:t>
      </w:r>
      <w:r w:rsidR="00966798" w:rsidRPr="00037C5A">
        <w:t xml:space="preserve">Governo e Parlamento </w:t>
      </w:r>
      <w:r w:rsidR="00176346" w:rsidRPr="00037C5A">
        <w:t xml:space="preserve">per richiamare l’attenzione </w:t>
      </w:r>
      <w:r w:rsidR="00714E5C" w:rsidRPr="00037C5A">
        <w:t>sull’evidenza che</w:t>
      </w:r>
      <w:r w:rsidR="006821A4">
        <w:t>,</w:t>
      </w:r>
      <w:r w:rsidR="00714E5C" w:rsidRPr="00037C5A">
        <w:t xml:space="preserve"> o</w:t>
      </w:r>
      <w:r w:rsidR="00966798" w:rsidRPr="00037C5A">
        <w:t>gni giorno che passa senza una norma struttural</w:t>
      </w:r>
      <w:r w:rsidR="00714E5C" w:rsidRPr="00037C5A">
        <w:t>e</w:t>
      </w:r>
      <w:r w:rsidR="00176346" w:rsidRPr="00037C5A">
        <w:t xml:space="preserve"> </w:t>
      </w:r>
      <w:r w:rsidR="00966798" w:rsidRPr="00037C5A">
        <w:t>per la revisione dei prezzi, si consuma un danno economico e sociale.</w:t>
      </w:r>
    </w:p>
    <w:p w14:paraId="76381AEA" w14:textId="4580FFA9" w:rsidR="004D6B44" w:rsidRPr="00037C5A" w:rsidRDefault="005702C2" w:rsidP="004D6B44">
      <w:pPr>
        <w:pStyle w:val="NormaleWeb"/>
        <w:jc w:val="both"/>
      </w:pPr>
      <w:r w:rsidRPr="00037C5A">
        <w:t>L</w:t>
      </w:r>
      <w:r w:rsidR="00754F38" w:rsidRPr="00037C5A">
        <w:t xml:space="preserve">’intera rappresentanza del comparto </w:t>
      </w:r>
      <w:r w:rsidR="004D6B44" w:rsidRPr="00037C5A">
        <w:t>proseguirà nel portare in tutte le sedi istituzionali i rischi concreti che corre il sistema-sicurezza del Paese.</w:t>
      </w:r>
    </w:p>
    <w:p w14:paraId="616D7532" w14:textId="42A5BF22" w:rsidR="004D6B44" w:rsidRPr="00037C5A" w:rsidRDefault="004D6B44" w:rsidP="004D6B44">
      <w:pPr>
        <w:pStyle w:val="NormaleWeb"/>
        <w:jc w:val="both"/>
      </w:pPr>
      <w:r w:rsidRPr="00037C5A">
        <w:t xml:space="preserve">La Consulta auspica che il confronto con il Governo </w:t>
      </w:r>
      <w:r w:rsidR="006821A4">
        <w:t>-</w:t>
      </w:r>
      <w:r w:rsidRPr="00037C5A">
        <w:t xml:space="preserve"> a partire dall’intergruppo parlamentare dedicato al settore </w:t>
      </w:r>
      <w:r w:rsidR="0005766B" w:rsidRPr="00037C5A">
        <w:t>e l’istituzione di un tavolo interministeriale presso il MIT</w:t>
      </w:r>
      <w:r w:rsidR="006821A4">
        <w:t xml:space="preserve"> -</w:t>
      </w:r>
      <w:r w:rsidRPr="00037C5A">
        <w:t xml:space="preserve"> consenta di </w:t>
      </w:r>
      <w:r w:rsidR="00714E5C" w:rsidRPr="00037C5A">
        <w:t xml:space="preserve">provvedere a correttivi non più rinviabili e </w:t>
      </w:r>
      <w:r w:rsidRPr="00037C5A">
        <w:t>costruire un quadro strutturale equo e sostenibile, capace di riconoscere il valore strategico dei servizi pubblici.</w:t>
      </w:r>
    </w:p>
    <w:p w14:paraId="483AAD69" w14:textId="77777777" w:rsidR="006E1EAA" w:rsidRDefault="006E1EAA" w:rsidP="00735859">
      <w:pPr>
        <w:pStyle w:val="NormaleWeb"/>
        <w:jc w:val="both"/>
        <w:rPr>
          <w:sz w:val="28"/>
          <w:szCs w:val="28"/>
        </w:rPr>
      </w:pPr>
    </w:p>
    <w:p w14:paraId="4F63555D" w14:textId="77777777" w:rsidR="006E1EAA" w:rsidRDefault="006E1EAA" w:rsidP="00735859">
      <w:pPr>
        <w:pStyle w:val="NormaleWeb"/>
        <w:jc w:val="both"/>
        <w:rPr>
          <w:sz w:val="28"/>
          <w:szCs w:val="28"/>
        </w:rPr>
      </w:pPr>
    </w:p>
    <w:p w14:paraId="063D84A3" w14:textId="7225CED8" w:rsidR="007128AA" w:rsidRPr="007128AA" w:rsidRDefault="007128AA" w:rsidP="007128AA">
      <w:pPr>
        <w:pStyle w:val="NormaleWeb"/>
        <w:jc w:val="both"/>
        <w:rPr>
          <w:sz w:val="28"/>
          <w:szCs w:val="28"/>
        </w:rPr>
      </w:pPr>
    </w:p>
    <w:sectPr w:rsidR="007128AA" w:rsidRPr="007128AA" w:rsidSect="00C052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30FC" w14:textId="77777777" w:rsidR="003F65F9" w:rsidRDefault="003F65F9" w:rsidP="00144DB4">
      <w:r>
        <w:separator/>
      </w:r>
    </w:p>
  </w:endnote>
  <w:endnote w:type="continuationSeparator" w:id="0">
    <w:p w14:paraId="38D728B6" w14:textId="77777777" w:rsidR="003F65F9" w:rsidRDefault="003F65F9" w:rsidP="0014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P DEMO - Belong Sans Light">
    <w:altName w:val="Calibri"/>
    <w:panose1 w:val="00000000000000000000"/>
    <w:charset w:val="4D"/>
    <w:family w:val="auto"/>
    <w:notTrueType/>
    <w:pitch w:val="variable"/>
    <w:sig w:usb0="00000007" w:usb1="000004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8677" w14:textId="77777777" w:rsidR="00600047" w:rsidRDefault="00600047">
    <w:pPr>
      <w:pStyle w:val="Pidipagina"/>
    </w:pPr>
    <w:r>
      <w:rPr>
        <w:noProof/>
      </w:rPr>
      <w:drawing>
        <wp:inline distT="0" distB="0" distL="0" distR="0" wp14:anchorId="45286989" wp14:editId="3A659751">
          <wp:extent cx="6682105" cy="2353310"/>
          <wp:effectExtent l="0" t="0" r="4445" b="8890"/>
          <wp:docPr id="566812630" name="Immagine 566812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235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B97C7E" w14:paraId="3C677DA9" w14:textId="77777777" w:rsidTr="30B97C7E">
      <w:trPr>
        <w:trHeight w:val="300"/>
      </w:trPr>
      <w:tc>
        <w:tcPr>
          <w:tcW w:w="3210" w:type="dxa"/>
        </w:tcPr>
        <w:p w14:paraId="4BD89D1A" w14:textId="77777777" w:rsidR="30B97C7E" w:rsidRDefault="30B97C7E" w:rsidP="30B97C7E">
          <w:pPr>
            <w:pStyle w:val="Intestazione"/>
            <w:ind w:left="-115"/>
          </w:pPr>
        </w:p>
      </w:tc>
      <w:tc>
        <w:tcPr>
          <w:tcW w:w="3210" w:type="dxa"/>
        </w:tcPr>
        <w:p w14:paraId="500FC955" w14:textId="77777777" w:rsidR="30B97C7E" w:rsidRDefault="30B97C7E" w:rsidP="30B97C7E">
          <w:pPr>
            <w:pStyle w:val="Intestazione"/>
            <w:jc w:val="center"/>
          </w:pPr>
        </w:p>
      </w:tc>
      <w:tc>
        <w:tcPr>
          <w:tcW w:w="3210" w:type="dxa"/>
        </w:tcPr>
        <w:p w14:paraId="08ABA862" w14:textId="7D579D07" w:rsidR="30B97C7E" w:rsidRDefault="30B97C7E" w:rsidP="30B97C7E">
          <w:pPr>
            <w:pStyle w:val="Intestazione"/>
            <w:ind w:right="-115"/>
            <w:jc w:val="right"/>
          </w:pPr>
        </w:p>
      </w:tc>
    </w:tr>
  </w:tbl>
  <w:p w14:paraId="35F7838E" w14:textId="77777777" w:rsidR="0068262D" w:rsidRDefault="0068262D" w:rsidP="30B97C7E">
    <w:pPr>
      <w:pStyle w:val="Pidipagina"/>
      <w:rPr>
        <w:noProof/>
      </w:rPr>
    </w:pPr>
  </w:p>
  <w:p w14:paraId="5BD2A92B" w14:textId="77777777" w:rsidR="0068262D" w:rsidRDefault="0068262D" w:rsidP="30B97C7E">
    <w:pPr>
      <w:pStyle w:val="Pidipagina"/>
      <w:rPr>
        <w:noProof/>
      </w:rPr>
    </w:pPr>
  </w:p>
  <w:p w14:paraId="09033BC7" w14:textId="77777777" w:rsidR="0068262D" w:rsidRDefault="0068262D" w:rsidP="30B97C7E">
    <w:pPr>
      <w:pStyle w:val="Pidipagina"/>
      <w:rPr>
        <w:noProof/>
      </w:rPr>
    </w:pPr>
  </w:p>
  <w:p w14:paraId="07DEA9B7" w14:textId="77777777" w:rsidR="0068262D" w:rsidRDefault="0068262D" w:rsidP="30B97C7E">
    <w:pPr>
      <w:pStyle w:val="Pidipagina"/>
      <w:rPr>
        <w:noProof/>
      </w:rPr>
    </w:pPr>
  </w:p>
  <w:p w14:paraId="160A7043" w14:textId="77777777" w:rsidR="0068262D" w:rsidRDefault="0068262D" w:rsidP="30B97C7E">
    <w:pPr>
      <w:pStyle w:val="Pidipagina"/>
      <w:rPr>
        <w:noProof/>
      </w:rPr>
    </w:pPr>
  </w:p>
  <w:p w14:paraId="69414FD9" w14:textId="77777777" w:rsidR="0068262D" w:rsidRDefault="0068262D" w:rsidP="30B97C7E">
    <w:pPr>
      <w:pStyle w:val="Pidipagina"/>
      <w:rPr>
        <w:noProof/>
      </w:rPr>
    </w:pPr>
  </w:p>
  <w:p w14:paraId="07E70ED8" w14:textId="77777777" w:rsidR="0068262D" w:rsidRDefault="0068262D" w:rsidP="30B97C7E">
    <w:pPr>
      <w:pStyle w:val="Pidipagina"/>
      <w:rPr>
        <w:noProof/>
      </w:rPr>
    </w:pPr>
  </w:p>
  <w:p w14:paraId="694C8FDD" w14:textId="09A13125" w:rsidR="30B97C7E" w:rsidRDefault="0068262D" w:rsidP="30B97C7E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E381" wp14:editId="61E29D2F">
          <wp:simplePos x="0" y="0"/>
          <wp:positionH relativeFrom="margin">
            <wp:align>right</wp:align>
          </wp:positionH>
          <wp:positionV relativeFrom="page">
            <wp:posOffset>8338820</wp:posOffset>
          </wp:positionV>
          <wp:extent cx="6120130" cy="2155190"/>
          <wp:effectExtent l="0" t="0" r="0" b="0"/>
          <wp:wrapThrough wrapText="bothSides">
            <wp:wrapPolygon edited="0">
              <wp:start x="0" y="0"/>
              <wp:lineTo x="0" y="21384"/>
              <wp:lineTo x="21515" y="21384"/>
              <wp:lineTo x="21515" y="0"/>
              <wp:lineTo x="0" y="0"/>
            </wp:wrapPolygon>
          </wp:wrapThrough>
          <wp:docPr id="1466470291" name="Immagine 1466470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5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ADC3" w14:textId="77777777" w:rsidR="003F65F9" w:rsidRDefault="003F65F9" w:rsidP="00144DB4">
      <w:r>
        <w:separator/>
      </w:r>
    </w:p>
  </w:footnote>
  <w:footnote w:type="continuationSeparator" w:id="0">
    <w:p w14:paraId="70615154" w14:textId="77777777" w:rsidR="003F65F9" w:rsidRDefault="003F65F9" w:rsidP="0014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563E" w14:textId="77777777" w:rsidR="00920FF8" w:rsidRDefault="00920FF8" w:rsidP="00920FF8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CONSULTA DEI SERVIZI </w:t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  <w:t xml:space="preserve">MANIFESTO DELL’ECONOMIA DEI SERVIZI </w:t>
    </w:r>
  </w:p>
  <w:p w14:paraId="633F460A" w14:textId="77777777" w:rsidR="00920FF8" w:rsidRPr="00632428" w:rsidRDefault="00920FF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1638" w14:textId="77777777" w:rsidR="00920FF8" w:rsidRDefault="00144DB4" w:rsidP="00C62291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CONSULTA DEI SERVIZI </w:t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  <w:t xml:space="preserve">MANIFESTO DELL’ECONOMIA DEI SERVIZI </w:t>
    </w:r>
  </w:p>
  <w:p w14:paraId="5B3B62C5" w14:textId="77777777" w:rsidR="00144DB4" w:rsidRPr="00C62291" w:rsidRDefault="00144DB4" w:rsidP="00C62291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AC9"/>
    <w:multiLevelType w:val="hybridMultilevel"/>
    <w:tmpl w:val="ED3CAF38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F22480B"/>
    <w:multiLevelType w:val="multilevel"/>
    <w:tmpl w:val="15C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5F72"/>
    <w:multiLevelType w:val="multilevel"/>
    <w:tmpl w:val="C46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470B9"/>
    <w:multiLevelType w:val="multilevel"/>
    <w:tmpl w:val="98C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065F5"/>
    <w:multiLevelType w:val="multilevel"/>
    <w:tmpl w:val="672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30191"/>
    <w:multiLevelType w:val="multilevel"/>
    <w:tmpl w:val="AFE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30647"/>
    <w:multiLevelType w:val="multilevel"/>
    <w:tmpl w:val="1B1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20E2"/>
    <w:multiLevelType w:val="multilevel"/>
    <w:tmpl w:val="882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040901">
    <w:abstractNumId w:val="0"/>
  </w:num>
  <w:num w:numId="2" w16cid:durableId="527138058">
    <w:abstractNumId w:val="5"/>
  </w:num>
  <w:num w:numId="3" w16cid:durableId="2038193016">
    <w:abstractNumId w:val="1"/>
  </w:num>
  <w:num w:numId="4" w16cid:durableId="1992707344">
    <w:abstractNumId w:val="2"/>
  </w:num>
  <w:num w:numId="5" w16cid:durableId="39403472">
    <w:abstractNumId w:val="3"/>
  </w:num>
  <w:num w:numId="6" w16cid:durableId="171262365">
    <w:abstractNumId w:val="6"/>
  </w:num>
  <w:num w:numId="7" w16cid:durableId="1166439946">
    <w:abstractNumId w:val="4"/>
  </w:num>
  <w:num w:numId="8" w16cid:durableId="457577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1"/>
    <w:rsid w:val="00031408"/>
    <w:rsid w:val="00031F20"/>
    <w:rsid w:val="00036F54"/>
    <w:rsid w:val="00037C5A"/>
    <w:rsid w:val="000401D7"/>
    <w:rsid w:val="000504FA"/>
    <w:rsid w:val="0005766B"/>
    <w:rsid w:val="000653BE"/>
    <w:rsid w:val="00070CC4"/>
    <w:rsid w:val="000759B8"/>
    <w:rsid w:val="00090416"/>
    <w:rsid w:val="000B37D9"/>
    <w:rsid w:val="000D1A42"/>
    <w:rsid w:val="0012186C"/>
    <w:rsid w:val="00133C26"/>
    <w:rsid w:val="00137DBF"/>
    <w:rsid w:val="00144DB4"/>
    <w:rsid w:val="00176346"/>
    <w:rsid w:val="00197DFD"/>
    <w:rsid w:val="001A5704"/>
    <w:rsid w:val="001C1BAD"/>
    <w:rsid w:val="001C3513"/>
    <w:rsid w:val="001C4CE4"/>
    <w:rsid w:val="001F5A20"/>
    <w:rsid w:val="0020192F"/>
    <w:rsid w:val="00215D65"/>
    <w:rsid w:val="0022373D"/>
    <w:rsid w:val="00232A18"/>
    <w:rsid w:val="002400B5"/>
    <w:rsid w:val="00264A69"/>
    <w:rsid w:val="00264AE1"/>
    <w:rsid w:val="00272D71"/>
    <w:rsid w:val="002766A5"/>
    <w:rsid w:val="00291141"/>
    <w:rsid w:val="002A0182"/>
    <w:rsid w:val="002A3192"/>
    <w:rsid w:val="002B0FC3"/>
    <w:rsid w:val="002B2381"/>
    <w:rsid w:val="002E5953"/>
    <w:rsid w:val="0030240D"/>
    <w:rsid w:val="003102B7"/>
    <w:rsid w:val="0031037E"/>
    <w:rsid w:val="003267E0"/>
    <w:rsid w:val="0032733B"/>
    <w:rsid w:val="0033387C"/>
    <w:rsid w:val="0033406D"/>
    <w:rsid w:val="00341DF4"/>
    <w:rsid w:val="00352A75"/>
    <w:rsid w:val="003900A2"/>
    <w:rsid w:val="003A4CE8"/>
    <w:rsid w:val="003A788E"/>
    <w:rsid w:val="003A7C4B"/>
    <w:rsid w:val="003B0622"/>
    <w:rsid w:val="003B474C"/>
    <w:rsid w:val="003B7AD0"/>
    <w:rsid w:val="003C045A"/>
    <w:rsid w:val="003C10F6"/>
    <w:rsid w:val="003C40DE"/>
    <w:rsid w:val="003D50E1"/>
    <w:rsid w:val="003F65F9"/>
    <w:rsid w:val="00431654"/>
    <w:rsid w:val="004566DD"/>
    <w:rsid w:val="00456F2B"/>
    <w:rsid w:val="004574C7"/>
    <w:rsid w:val="00464950"/>
    <w:rsid w:val="00493486"/>
    <w:rsid w:val="004A0D71"/>
    <w:rsid w:val="004B04EF"/>
    <w:rsid w:val="004C50AC"/>
    <w:rsid w:val="004D27CD"/>
    <w:rsid w:val="004D6B44"/>
    <w:rsid w:val="004E397A"/>
    <w:rsid w:val="0050723C"/>
    <w:rsid w:val="00526E76"/>
    <w:rsid w:val="00533233"/>
    <w:rsid w:val="00536D4B"/>
    <w:rsid w:val="00547474"/>
    <w:rsid w:val="005702C2"/>
    <w:rsid w:val="00575520"/>
    <w:rsid w:val="00582885"/>
    <w:rsid w:val="00584FB3"/>
    <w:rsid w:val="00591A59"/>
    <w:rsid w:val="0059767B"/>
    <w:rsid w:val="005A42D2"/>
    <w:rsid w:val="005B50A6"/>
    <w:rsid w:val="005B76CB"/>
    <w:rsid w:val="005D050B"/>
    <w:rsid w:val="005E32F9"/>
    <w:rsid w:val="00600047"/>
    <w:rsid w:val="00600D80"/>
    <w:rsid w:val="00621473"/>
    <w:rsid w:val="00632250"/>
    <w:rsid w:val="00632428"/>
    <w:rsid w:val="00643802"/>
    <w:rsid w:val="00643932"/>
    <w:rsid w:val="0067420C"/>
    <w:rsid w:val="00677309"/>
    <w:rsid w:val="006821A4"/>
    <w:rsid w:val="0068262D"/>
    <w:rsid w:val="006938B6"/>
    <w:rsid w:val="006A608C"/>
    <w:rsid w:val="006E1EAA"/>
    <w:rsid w:val="007128AA"/>
    <w:rsid w:val="00714E5C"/>
    <w:rsid w:val="00722840"/>
    <w:rsid w:val="00725189"/>
    <w:rsid w:val="00735859"/>
    <w:rsid w:val="0075171F"/>
    <w:rsid w:val="007527E0"/>
    <w:rsid w:val="00754F38"/>
    <w:rsid w:val="00762B10"/>
    <w:rsid w:val="007A51DF"/>
    <w:rsid w:val="007B1742"/>
    <w:rsid w:val="007B3ED4"/>
    <w:rsid w:val="007E57D3"/>
    <w:rsid w:val="00803638"/>
    <w:rsid w:val="008258D4"/>
    <w:rsid w:val="008261BD"/>
    <w:rsid w:val="00826F7E"/>
    <w:rsid w:val="00872964"/>
    <w:rsid w:val="00874156"/>
    <w:rsid w:val="008A6533"/>
    <w:rsid w:val="008E41C2"/>
    <w:rsid w:val="008E67E0"/>
    <w:rsid w:val="008E7023"/>
    <w:rsid w:val="008F030A"/>
    <w:rsid w:val="008F6288"/>
    <w:rsid w:val="00904B69"/>
    <w:rsid w:val="0091126C"/>
    <w:rsid w:val="009130BF"/>
    <w:rsid w:val="00920FF8"/>
    <w:rsid w:val="00932C37"/>
    <w:rsid w:val="009408A9"/>
    <w:rsid w:val="0094189B"/>
    <w:rsid w:val="00963C30"/>
    <w:rsid w:val="0096400A"/>
    <w:rsid w:val="00966798"/>
    <w:rsid w:val="009768D5"/>
    <w:rsid w:val="00980AD9"/>
    <w:rsid w:val="0098252B"/>
    <w:rsid w:val="00996119"/>
    <w:rsid w:val="009C7E5B"/>
    <w:rsid w:val="009D557D"/>
    <w:rsid w:val="009F3BA0"/>
    <w:rsid w:val="00A00139"/>
    <w:rsid w:val="00A007B7"/>
    <w:rsid w:val="00A05962"/>
    <w:rsid w:val="00A155A2"/>
    <w:rsid w:val="00A334B4"/>
    <w:rsid w:val="00A42A9A"/>
    <w:rsid w:val="00A47262"/>
    <w:rsid w:val="00A52F1D"/>
    <w:rsid w:val="00A54E6A"/>
    <w:rsid w:val="00A65C3A"/>
    <w:rsid w:val="00A66AAC"/>
    <w:rsid w:val="00A8618D"/>
    <w:rsid w:val="00A9170F"/>
    <w:rsid w:val="00A93C45"/>
    <w:rsid w:val="00A956F8"/>
    <w:rsid w:val="00AA63D4"/>
    <w:rsid w:val="00AB1E9B"/>
    <w:rsid w:val="00AC4DDC"/>
    <w:rsid w:val="00AE6BC8"/>
    <w:rsid w:val="00B30385"/>
    <w:rsid w:val="00B36262"/>
    <w:rsid w:val="00B50ED3"/>
    <w:rsid w:val="00B546E9"/>
    <w:rsid w:val="00B565BB"/>
    <w:rsid w:val="00B86B30"/>
    <w:rsid w:val="00BC5502"/>
    <w:rsid w:val="00BD7286"/>
    <w:rsid w:val="00BE4A2F"/>
    <w:rsid w:val="00BE4FD3"/>
    <w:rsid w:val="00BF718E"/>
    <w:rsid w:val="00C052D2"/>
    <w:rsid w:val="00C12195"/>
    <w:rsid w:val="00C22A0B"/>
    <w:rsid w:val="00C3109C"/>
    <w:rsid w:val="00C346B8"/>
    <w:rsid w:val="00C3516B"/>
    <w:rsid w:val="00C37294"/>
    <w:rsid w:val="00C57859"/>
    <w:rsid w:val="00C62291"/>
    <w:rsid w:val="00C82EF9"/>
    <w:rsid w:val="00C929A0"/>
    <w:rsid w:val="00CA7BCF"/>
    <w:rsid w:val="00CC00C9"/>
    <w:rsid w:val="00CD46D6"/>
    <w:rsid w:val="00CE10AD"/>
    <w:rsid w:val="00CF15D5"/>
    <w:rsid w:val="00D04517"/>
    <w:rsid w:val="00D12553"/>
    <w:rsid w:val="00D37C34"/>
    <w:rsid w:val="00D402AB"/>
    <w:rsid w:val="00D40F3B"/>
    <w:rsid w:val="00D47313"/>
    <w:rsid w:val="00D56598"/>
    <w:rsid w:val="00D61C24"/>
    <w:rsid w:val="00D7314C"/>
    <w:rsid w:val="00D7703E"/>
    <w:rsid w:val="00D81232"/>
    <w:rsid w:val="00D82514"/>
    <w:rsid w:val="00D8553E"/>
    <w:rsid w:val="00D85A64"/>
    <w:rsid w:val="00D87DAF"/>
    <w:rsid w:val="00DA2905"/>
    <w:rsid w:val="00DB271A"/>
    <w:rsid w:val="00DD2FC2"/>
    <w:rsid w:val="00DE01CF"/>
    <w:rsid w:val="00DE3F14"/>
    <w:rsid w:val="00DF41C5"/>
    <w:rsid w:val="00E15E6B"/>
    <w:rsid w:val="00E34BAF"/>
    <w:rsid w:val="00E4777E"/>
    <w:rsid w:val="00E4784D"/>
    <w:rsid w:val="00E544A1"/>
    <w:rsid w:val="00E56D33"/>
    <w:rsid w:val="00E8023F"/>
    <w:rsid w:val="00E85C96"/>
    <w:rsid w:val="00E85F2E"/>
    <w:rsid w:val="00EC1C1F"/>
    <w:rsid w:val="00EC6901"/>
    <w:rsid w:val="00EE67F2"/>
    <w:rsid w:val="00EF0D94"/>
    <w:rsid w:val="00EF150D"/>
    <w:rsid w:val="00EF2BA6"/>
    <w:rsid w:val="00F00B90"/>
    <w:rsid w:val="00F039DF"/>
    <w:rsid w:val="00F138D3"/>
    <w:rsid w:val="00F21E28"/>
    <w:rsid w:val="00F25601"/>
    <w:rsid w:val="00F42892"/>
    <w:rsid w:val="00F61D20"/>
    <w:rsid w:val="00F817F9"/>
    <w:rsid w:val="00FA01B3"/>
    <w:rsid w:val="00FA15FA"/>
    <w:rsid w:val="00FA7AEB"/>
    <w:rsid w:val="00FC5AF9"/>
    <w:rsid w:val="00FD32BF"/>
    <w:rsid w:val="00FE3BD6"/>
    <w:rsid w:val="040B01FF"/>
    <w:rsid w:val="05EA41EC"/>
    <w:rsid w:val="09BE461B"/>
    <w:rsid w:val="0E14B67C"/>
    <w:rsid w:val="11463C97"/>
    <w:rsid w:val="177ADF08"/>
    <w:rsid w:val="30B97C7E"/>
    <w:rsid w:val="3EFEF6A2"/>
    <w:rsid w:val="42348F15"/>
    <w:rsid w:val="4DC9E51C"/>
    <w:rsid w:val="4FF238EE"/>
    <w:rsid w:val="5B387512"/>
    <w:rsid w:val="64BF9463"/>
    <w:rsid w:val="669EA195"/>
    <w:rsid w:val="6A218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9358"/>
  <w15:chartTrackingRefBased/>
  <w15:docId w15:val="{8DFD36CA-DFFC-B546-A661-5D3CE55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P DEMO - Belong Sans Light" w:eastAsiaTheme="minorHAnsi" w:hAnsi="FSP DEMO - Belong Sans Light" w:cs="Calibri"/>
        <w:color w:val="000000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6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56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56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56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56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56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56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56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5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56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56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56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56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56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56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56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5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56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56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56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5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56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56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56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5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56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56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F25601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6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4D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B4"/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4D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B4"/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6A6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A608C"/>
    <w:rPr>
      <w:b/>
      <w:bCs/>
    </w:rPr>
  </w:style>
  <w:style w:type="character" w:styleId="Enfasicorsivo">
    <w:name w:val="Emphasis"/>
    <w:basedOn w:val="Carpredefinitoparagrafo"/>
    <w:uiPriority w:val="20"/>
    <w:qFormat/>
    <w:rsid w:val="006A608C"/>
    <w:rPr>
      <w:i/>
      <w:iCs/>
    </w:rPr>
  </w:style>
  <w:style w:type="paragraph" w:styleId="Revisione">
    <w:name w:val="Revision"/>
    <w:hidden/>
    <w:uiPriority w:val="99"/>
    <w:semiHidden/>
    <w:rsid w:val="00B86B30"/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valente</dc:creator>
  <cp:keywords/>
  <dc:description/>
  <cp:lastModifiedBy>Maria Cristina Urbano</cp:lastModifiedBy>
  <cp:revision>2</cp:revision>
  <cp:lastPrinted>2025-07-09T15:13:00Z</cp:lastPrinted>
  <dcterms:created xsi:type="dcterms:W3CDTF">2025-07-10T13:22:00Z</dcterms:created>
  <dcterms:modified xsi:type="dcterms:W3CDTF">2025-07-10T13:22:00Z</dcterms:modified>
</cp:coreProperties>
</file>